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304.02: Monitoring of Administrative Regulations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administrative regulations will be monitored and revised when necessary.  It is the responsibility of the Tri-County superintendent to monitor and revise the administrative regulations.</w:t>
        <w:br w:type="textWrapping"/>
        <w:br w:type="textWrapping"/>
        <w:t xml:space="preserve">The superintendent may rely on the board, administrators, employees, students, and other members of the school district community to inform the superintendent about the effect of and possible changes in the administrative regulations.</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.20.</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279.20</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Superintendent - Term</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304.01</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Development and Enforcement of Administrative Regulations</w:t>
              </w:r>
            </w:hyperlink>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hXme9W7PgBqeslshPCjh1kS8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279.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3TafmVPUHg64RkV5GNrcVSiZw==">CgMxLjAyCGguZ2pkZ3hzOAByITFqUFkxcWk4S00tWHVhSjNGWTVuZDBZWW95VzZTZUM4MA==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2024-02-15T15:05:00Z</dcterms:created>
  <dc:creator>Linda Heisdorffer</dc:creator>
</cp:coreProperties>
</file>